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7" w:lineRule="exact"/>
        <w:jc w:val="both"/>
        <w:rPr>
          <w:rFonts w:hint="eastAsia" w:ascii="仿宋_GB2312" w:hAnsi="仿宋_GB2312" w:eastAsia="仿宋_GB2312" w:cs="仿宋_GB2312"/>
          <w:sz w:val="44"/>
          <w:szCs w:val="44"/>
        </w:rPr>
      </w:pPr>
      <w:bookmarkStart w:id="0" w:name="_GoBack"/>
      <w:bookmarkEnd w:id="0"/>
      <w:r>
        <w:rPr>
          <w:rFonts w:hint="eastAsia" w:ascii="仿宋_GB2312" w:hAnsi="仿宋_GB2312" w:eastAsia="仿宋_GB2312" w:cs="仿宋_GB2312"/>
          <w:sz w:val="32"/>
          <w:szCs w:val="32"/>
          <w:lang w:val="en-US" w:eastAsia="zh-CN"/>
        </w:rPr>
        <w:t>附件3</w:t>
      </w:r>
    </w:p>
    <w:p>
      <w:pPr>
        <w:spacing w:line="577" w:lineRule="exact"/>
        <w:jc w:val="center"/>
        <w:rPr>
          <w:rFonts w:ascii="Times New Roman" w:hAnsi="Times New Roman" w:eastAsia="方正小标宋简体" w:cs="Times New Roman"/>
          <w:sz w:val="44"/>
          <w:szCs w:val="44"/>
        </w:rPr>
      </w:pPr>
    </w:p>
    <w:p>
      <w:pPr>
        <w:spacing w:line="577"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“清朗网络空间，共筑禁毒防线”</w:t>
      </w:r>
    </w:p>
    <w:p>
      <w:pPr>
        <w:spacing w:line="577"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全国化工行业净网倡议</w:t>
      </w:r>
    </w:p>
    <w:p>
      <w:pPr>
        <w:spacing w:line="577" w:lineRule="exact"/>
        <w:rPr>
          <w:rFonts w:ascii="Times New Roman" w:hAnsi="Times New Roman" w:eastAsia="仿宋_GB2312" w:cs="Times New Roman"/>
          <w:sz w:val="32"/>
          <w:szCs w:val="32"/>
        </w:rPr>
      </w:pP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前，不法分子利用化工平台寻购非列管可制毒化学品从事涉毒违法犯罪活动日益突出，已严重破坏市场秩序，损害国家形象。化工行业作为国民经济重要支柱产业，在禁毒工作中肩负关键作用和使命。积极参与禁毒工作是行业从业者义不容辞的责任。为遏制化工行业涉毒问题发展蔓延，有力维护行业健康发展，我们特向全国化工行业及全体从业人员发出如下倡议：</w:t>
      </w:r>
    </w:p>
    <w:p>
      <w:pPr>
        <w:spacing w:line="577"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一、胸怀国之大者，筑牢合规思想根基</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行业要严格遵守国家和相关主管部门制定的各项法律法规，切实履行禁毒责任、维护行业安全、巩固禁毒防线、严格行业自律，规范非列管可制毒化学品信息发布，将禁毒工作贯穿于化工行业全链条，并纳入企业内部控制与风险管理体系，进一步筑牢思想防线。</w:t>
      </w:r>
    </w:p>
    <w:p>
      <w:pPr>
        <w:spacing w:line="577"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二、恪守合规底线，防范信息滥用风险</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行业要承担信息内容管理主体责任。发布化工信息时，要严格坚守各项法律法规。严禁以任何形式发布、暗示可能教唆、误导非法使用的销售或技术信息，杜绝使用代号、隐暗语等规避监管。信息发布应引导合法合规工业应用、安全操作规范及科技成果正面宣传，确保导向正确、内容真实。</w:t>
      </w:r>
    </w:p>
    <w:p>
      <w:pPr>
        <w:spacing w:line="577"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三、强化审慎核查，阻断异常交易链条</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行业要强化合规审核风险防控意识。在涉非列管可制毒化学品及相关敏感物质交易中，倡议企业执行审慎客户背景调查与采购用途核实程序。对交易对象存在资质可疑、采购异常或用途不明等情况的，要高度警惕并加强核验。鼓励企业建立内部预警机制，对无法排除风险的，应果断拒绝并及时向有关部门反映。</w:t>
      </w:r>
    </w:p>
    <w:p>
      <w:pPr>
        <w:spacing w:line="577"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四、汇聚行业合力，构建协同共治格局</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维护行业整体形象需要每一家企业的共同努力。我们倡议，全行业要加强沟通，在识别风险、分享经验等方面形成合力。协会应更好发挥纽带作用，组织开展政策宣讲、风险提示与实践交流，提升行业整体风险辨识与防范能力。支持行业媒体与信息平台传播正能量，广泛宣传我国化工行业安全、绿色、创新及合规治理方面成就与贡献。</w:t>
      </w:r>
    </w:p>
    <w:p>
      <w:pPr>
        <w:spacing w:line="577"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五、立足全球视野，贡献行业治理智慧</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国化工行业网络言行直接影响国家形象。我们倡议企业在开展国际业务与交流时，要自觉秉持高标准合规要求，规范信息发布。要主动利用国际平台，客观专业阐述我国化工和禁毒领域有力举措与成效，分享我国化工行业可持续发展理念与实践，为全球化学品安全治理贡献中国智慧。</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清朗网络空间，人人受益；筑牢禁毒防线，人人有责。让我们以高度的政治自觉、严谨的合规行动和积极的行业协同，从规范每一则网络信息做起，共同守护化工行业的蓝天净土，为维护全球化学品安全秩序，助力产业高质量发展、服务中国式现代化大局作出新的更大贡献！</w:t>
      </w:r>
    </w:p>
    <w:p>
      <w:pPr>
        <w:spacing w:line="577" w:lineRule="exact"/>
        <w:ind w:firstLine="3520" w:firstLineChars="1100"/>
        <w:rPr>
          <w:rFonts w:ascii="Times New Roman" w:hAnsi="Times New Roman" w:eastAsia="仿宋_GB2312" w:cs="Times New Roman"/>
          <w:sz w:val="32"/>
          <w:szCs w:val="32"/>
        </w:rPr>
      </w:pPr>
    </w:p>
    <w:p>
      <w:pPr>
        <w:spacing w:line="577" w:lineRule="exact"/>
        <w:ind w:firstLine="3520" w:firstLineChars="1100"/>
        <w:rPr>
          <w:rFonts w:ascii="Times New Roman" w:hAnsi="Times New Roman" w:eastAsia="仿宋_GB2312" w:cs="Times New Roman"/>
          <w:sz w:val="32"/>
          <w:szCs w:val="32"/>
        </w:rPr>
      </w:pPr>
      <w:r>
        <w:rPr>
          <w:rFonts w:ascii="Times New Roman" w:hAnsi="Times New Roman" w:eastAsia="仿宋_GB2312" w:cs="Times New Roman"/>
          <w:sz w:val="32"/>
          <w:szCs w:val="32"/>
        </w:rPr>
        <w:t>中国石油和化学工业联合会</w:t>
      </w:r>
    </w:p>
    <w:p>
      <w:pPr>
        <w:spacing w:line="577" w:lineRule="exact"/>
        <w:ind w:firstLine="4000" w:firstLineChars="1250"/>
      </w:pPr>
      <w:r>
        <w:rPr>
          <w:rFonts w:ascii="Times New Roman" w:hAnsi="Times New Roman" w:eastAsia="仿宋_GB2312" w:cs="Times New Roman"/>
          <w:sz w:val="32"/>
          <w:szCs w:val="32"/>
        </w:rPr>
        <w:t>2025年12月30日</w:t>
      </w:r>
    </w:p>
    <w:sectPr>
      <w:type w:val="continuous"/>
      <w:pgSz w:w="11906" w:h="16838"/>
      <w:pgMar w:top="1058" w:right="1531" w:bottom="1080" w:left="1531"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altName w:val="方正小标宋_GBK"/>
    <w:panose1 w:val="03000509000000000000"/>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EC76B0"/>
    <w:rsid w:val="207658E6"/>
    <w:rsid w:val="3EDD69E6"/>
    <w:rsid w:val="40922427"/>
    <w:rsid w:val="62EC76B0"/>
    <w:rsid w:val="6F7FCDE4"/>
    <w:rsid w:val="FFFE8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2026-02-05T16:01:00Z</dcterms:created>
  <dc:creator>钱磊</dc:creator>
  <cp:lastModifiedBy>十四</cp:lastModifiedBy>
  <dcterms:modified xsi:type="dcterms:W3CDTF">2026-03-12T12:54:42Z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356E83508C7131D11247B26938847D61_43</vt:lpwstr>
  </property>
</Properties>
</file>